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E53" w:rsidRDefault="00937936" w:rsidP="002D7E53">
      <w:pPr>
        <w:rPr>
          <w:b/>
        </w:rPr>
      </w:pPr>
      <w:r>
        <w:rPr>
          <w:b/>
          <w:noProof/>
          <w:lang w:val="en-US"/>
        </w:rPr>
        <w:drawing>
          <wp:anchor distT="0" distB="0" distL="114300" distR="114300" simplePos="0" relativeHeight="251659264" behindDoc="0" locked="0" layoutInCell="1" allowOverlap="1">
            <wp:simplePos x="0" y="0"/>
            <wp:positionH relativeFrom="column">
              <wp:posOffset>0</wp:posOffset>
            </wp:positionH>
            <wp:positionV relativeFrom="paragraph">
              <wp:posOffset>-203200</wp:posOffset>
            </wp:positionV>
            <wp:extent cx="1288415" cy="1603375"/>
            <wp:effectExtent l="0" t="0" r="698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E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88415" cy="1603375"/>
                    </a:xfrm>
                    <a:prstGeom prst="rect">
                      <a:avLst/>
                    </a:prstGeom>
                  </pic:spPr>
                </pic:pic>
              </a:graphicData>
            </a:graphic>
            <wp14:sizeRelH relativeFrom="page">
              <wp14:pctWidth>0</wp14:pctWidth>
            </wp14:sizeRelH>
            <wp14:sizeRelV relativeFrom="page">
              <wp14:pctHeight>0</wp14:pctHeight>
            </wp14:sizeRelV>
          </wp:anchor>
        </w:drawing>
      </w:r>
      <w:r w:rsidR="00EE3F6B">
        <w:rPr>
          <w:b/>
        </w:rPr>
        <w:t xml:space="preserve">The Psychology of Change </w:t>
      </w:r>
    </w:p>
    <w:p w:rsidR="00A36EFA" w:rsidRPr="00A36EFA" w:rsidRDefault="00A36EFA" w:rsidP="002D7E53">
      <w:pPr>
        <w:rPr>
          <w:i/>
          <w:sz w:val="20"/>
        </w:rPr>
      </w:pPr>
      <w:r w:rsidRPr="00A36EFA">
        <w:rPr>
          <w:i/>
          <w:sz w:val="20"/>
        </w:rPr>
        <w:t xml:space="preserve">By Kate Morris, </w:t>
      </w:r>
      <w:r>
        <w:rPr>
          <w:i/>
          <w:sz w:val="20"/>
        </w:rPr>
        <w:t xml:space="preserve">PMI Sydney </w:t>
      </w:r>
      <w:bookmarkStart w:id="0" w:name="_GoBack"/>
      <w:bookmarkEnd w:id="0"/>
      <w:r w:rsidRPr="00A36EFA">
        <w:rPr>
          <w:i/>
          <w:sz w:val="20"/>
        </w:rPr>
        <w:t>Special Projects Director</w:t>
      </w:r>
    </w:p>
    <w:p w:rsidR="002D7E53" w:rsidRDefault="00EE3F6B" w:rsidP="002D7E53">
      <w:r>
        <w:t>I was lucky enough to hear a colleague discuss his ideas on how project managers can look to some basic psychology theories to assist in delivering projects and helping stakeholders and customers not just accept the change, but enjoy the process!</w:t>
      </w:r>
    </w:p>
    <w:p w:rsidR="002D7E53" w:rsidRDefault="00EE3F6B" w:rsidP="002D7E53">
      <w:r>
        <w:t xml:space="preserve">In our day to day activities as project professionals we are always faced with implementing change. Sometimes, the change is easy and easily accepted. Most of the time for me at least, the change can be hard, with stakeholders and customers pushing back. So as catalysts for change, what techniques are available to get more </w:t>
      </w:r>
      <w:proofErr w:type="gramStart"/>
      <w:r>
        <w:t>acceptance</w:t>
      </w:r>
      <w:proofErr w:type="gramEnd"/>
      <w:r>
        <w:t xml:space="preserve"> </w:t>
      </w:r>
      <w:r w:rsidR="00F06AA8">
        <w:t>and a smoother project implementation?</w:t>
      </w:r>
    </w:p>
    <w:p w:rsidR="002D7E53" w:rsidRDefault="002D7E53" w:rsidP="002D7E53">
      <w:r>
        <w:t xml:space="preserve">One of the theories we discussed was the </w:t>
      </w:r>
      <w:hyperlink r:id="rId6" w:history="1">
        <w:proofErr w:type="spellStart"/>
        <w:r w:rsidR="00F06AA8" w:rsidRPr="00F06AA8">
          <w:rPr>
            <w:rStyle w:val="Hyperlink"/>
          </w:rPr>
          <w:t>The</w:t>
        </w:r>
        <w:proofErr w:type="spellEnd"/>
        <w:r w:rsidR="00F06AA8" w:rsidRPr="00F06AA8">
          <w:rPr>
            <w:rStyle w:val="Hyperlink"/>
          </w:rPr>
          <w:t xml:space="preserve"> Self Determination Theory (STD)</w:t>
        </w:r>
      </w:hyperlink>
      <w:r w:rsidR="00F06AA8">
        <w:t xml:space="preserve">  is centrally concerned with motivation. How easy is it to convince someone to do what you want if they don’t associate the change with themselves? Think on a project; how easy is it to get buy</w:t>
      </w:r>
      <w:r w:rsidR="00423719">
        <w:t>-</w:t>
      </w:r>
      <w:r w:rsidR="00F06AA8">
        <w:t xml:space="preserve">in from stakeholders when the change you will make is very large to their day to day activities. Perhaps the change is actually to make their life easier, but if they have no connection with the change you will have a harder time working with them and potentially they could hamper your efforts and </w:t>
      </w:r>
      <w:r w:rsidR="009E7663">
        <w:t xml:space="preserve">spread negativity to other stakeholders on your project. </w:t>
      </w:r>
    </w:p>
    <w:p w:rsidR="002D7E53" w:rsidRDefault="005835DB" w:rsidP="002D7E53">
      <w:r>
        <w:t>Looking at STD – there are 4 distinct stages</w:t>
      </w:r>
      <w:r w:rsidR="009C26C0">
        <w:t xml:space="preserve"> pictured b</w:t>
      </w:r>
      <w:r w:rsidR="002D7E53">
        <w:t>elow</w:t>
      </w:r>
    </w:p>
    <w:p w:rsidR="002D7E53" w:rsidRDefault="009C26C0" w:rsidP="002D7E53">
      <w:pPr>
        <w:jc w:val="center"/>
      </w:pPr>
      <w:r>
        <w:t xml:space="preserve"> </w:t>
      </w:r>
      <w:r w:rsidR="00F06AA8">
        <w:rPr>
          <w:noProof/>
          <w:lang w:val="en-US"/>
        </w:rPr>
        <w:drawing>
          <wp:inline distT="0" distB="0" distL="0" distR="0" wp14:anchorId="763F236A" wp14:editId="6F3E95D0">
            <wp:extent cx="5111035" cy="71410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119586" cy="715298"/>
                    </a:xfrm>
                    <a:prstGeom prst="rect">
                      <a:avLst/>
                    </a:prstGeom>
                    <a:noFill/>
                  </pic:spPr>
                </pic:pic>
              </a:graphicData>
            </a:graphic>
          </wp:inline>
        </w:drawing>
      </w:r>
    </w:p>
    <w:p w:rsidR="002D7E53" w:rsidRDefault="002D7E53" w:rsidP="002D7E53">
      <w:pPr>
        <w:spacing w:line="240" w:lineRule="auto"/>
      </w:pPr>
      <w:r w:rsidRPr="002D7E53">
        <w:rPr>
          <w:b/>
        </w:rPr>
        <w:t>E</w:t>
      </w:r>
      <w:r w:rsidR="009C26C0" w:rsidRPr="002D7E53">
        <w:rPr>
          <w:b/>
        </w:rPr>
        <w:t>xternal</w:t>
      </w:r>
      <w:r w:rsidR="009C26C0">
        <w:t xml:space="preserve"> – where the idea is seen as someone else’s e.g. someone else tells you to give up smoking.</w:t>
      </w:r>
    </w:p>
    <w:p w:rsidR="002D7E53" w:rsidRDefault="009C26C0" w:rsidP="002D7E53">
      <w:pPr>
        <w:spacing w:line="240" w:lineRule="auto"/>
      </w:pPr>
      <w:proofErr w:type="spellStart"/>
      <w:r w:rsidRPr="002D7E53">
        <w:rPr>
          <w:b/>
        </w:rPr>
        <w:t>Introjected</w:t>
      </w:r>
      <w:proofErr w:type="spellEnd"/>
      <w:r w:rsidRPr="002D7E53">
        <w:rPr>
          <w:b/>
        </w:rPr>
        <w:t xml:space="preserve"> </w:t>
      </w:r>
      <w:r>
        <w:t>– Where you contemplate the idea e.g. you look at the idea of giving up smoking.</w:t>
      </w:r>
    </w:p>
    <w:p w:rsidR="002D7E53" w:rsidRDefault="009C26C0" w:rsidP="002D7E53">
      <w:pPr>
        <w:spacing w:line="240" w:lineRule="auto"/>
      </w:pPr>
      <w:r w:rsidRPr="002D7E53">
        <w:rPr>
          <w:b/>
        </w:rPr>
        <w:t xml:space="preserve">Identified </w:t>
      </w:r>
      <w:r>
        <w:t xml:space="preserve">– You identify with the idea </w:t>
      </w:r>
      <w:r w:rsidR="002D7E53">
        <w:t>e.g.</w:t>
      </w:r>
      <w:r>
        <w:t xml:space="preserve"> you think you should give up smoking.</w:t>
      </w:r>
    </w:p>
    <w:p w:rsidR="009C26C0" w:rsidRDefault="009C26C0" w:rsidP="002D7E53">
      <w:pPr>
        <w:spacing w:line="240" w:lineRule="auto"/>
      </w:pPr>
      <w:r w:rsidRPr="002D7E53">
        <w:rPr>
          <w:b/>
        </w:rPr>
        <w:t xml:space="preserve">Internal </w:t>
      </w:r>
      <w:r>
        <w:t xml:space="preserve">– You take on the idea and are motivated to see it through </w:t>
      </w:r>
      <w:r w:rsidR="002D7E53">
        <w:t>e.g.</w:t>
      </w:r>
      <w:r>
        <w:t xml:space="preserve"> you give up smoking.</w:t>
      </w:r>
    </w:p>
    <w:p w:rsidR="005835DB" w:rsidRDefault="005835DB" w:rsidP="004C3E63">
      <w:pPr>
        <w:keepNext/>
        <w:jc w:val="center"/>
        <w:rPr>
          <w:b/>
        </w:rPr>
      </w:pPr>
      <w:r w:rsidRPr="009C26C0">
        <w:rPr>
          <w:b/>
        </w:rPr>
        <w:t xml:space="preserve">So how do you get people to be motivated </w:t>
      </w:r>
      <w:r w:rsidR="004C3E63">
        <w:rPr>
          <w:b/>
        </w:rPr>
        <w:t xml:space="preserve">to take on your </w:t>
      </w:r>
      <w:proofErr w:type="gramStart"/>
      <w:r w:rsidR="004C3E63">
        <w:rPr>
          <w:b/>
        </w:rPr>
        <w:t>idea ?</w:t>
      </w:r>
      <w:proofErr w:type="gramEnd"/>
    </w:p>
    <w:p w:rsidR="004C3E63" w:rsidRDefault="004C3E63">
      <w:r>
        <w:t xml:space="preserve">Think about this the next time you engage your stakeholders. Are they fully on board with your change or do you need to </w:t>
      </w:r>
      <w:proofErr w:type="gramStart"/>
      <w:r>
        <w:t>take</w:t>
      </w:r>
      <w:proofErr w:type="gramEnd"/>
      <w:r>
        <w:t xml:space="preserve"> the time to help them take ownership of the change and become your champion? </w:t>
      </w:r>
    </w:p>
    <w:p w:rsidR="0089063A" w:rsidRDefault="004C3E63">
      <w:r>
        <w:t xml:space="preserve">Some </w:t>
      </w:r>
      <w:r w:rsidR="002D7E53">
        <w:t>tips</w:t>
      </w:r>
      <w:r>
        <w:t xml:space="preserve"> I regularly use with my stakeholders;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4621"/>
        <w:gridCol w:w="4621"/>
      </w:tblGrid>
      <w:tr w:rsidR="00883434" w:rsidTr="002D7E53">
        <w:tc>
          <w:tcPr>
            <w:tcW w:w="4621" w:type="dxa"/>
            <w:shd w:val="clear" w:color="auto" w:fill="DBE5F1" w:themeFill="accent1" w:themeFillTint="33"/>
          </w:tcPr>
          <w:p w:rsidR="00883434" w:rsidRDefault="00883434" w:rsidP="00883434">
            <w:pPr>
              <w:spacing w:before="240"/>
              <w:jc w:val="center"/>
            </w:pPr>
            <w:r>
              <w:rPr>
                <w:noProof/>
                <w:lang w:val="en-US"/>
              </w:rPr>
              <w:lastRenderedPageBreak/>
              <w:drawing>
                <wp:inline distT="0" distB="0" distL="0" distR="0" wp14:anchorId="26D558E1" wp14:editId="61BF8A1A">
                  <wp:extent cx="1706880" cy="120335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lly_the_troops_400_clr_10095.png"/>
                          <pic:cNvPicPr/>
                        </pic:nvPicPr>
                        <pic:blipFill>
                          <a:blip r:embed="rId8">
                            <a:extLst>
                              <a:ext uri="{28A0092B-C50C-407E-A947-70E740481C1C}">
                                <a14:useLocalDpi xmlns:a14="http://schemas.microsoft.com/office/drawing/2010/main" val="0"/>
                              </a:ext>
                            </a:extLst>
                          </a:blip>
                          <a:stretch>
                            <a:fillRect/>
                          </a:stretch>
                        </pic:blipFill>
                        <pic:spPr>
                          <a:xfrm>
                            <a:off x="0" y="0"/>
                            <a:ext cx="1709305" cy="1205059"/>
                          </a:xfrm>
                          <a:prstGeom prst="rect">
                            <a:avLst/>
                          </a:prstGeom>
                        </pic:spPr>
                      </pic:pic>
                    </a:graphicData>
                  </a:graphic>
                </wp:inline>
              </w:drawing>
            </w:r>
          </w:p>
        </w:tc>
        <w:tc>
          <w:tcPr>
            <w:tcW w:w="4621" w:type="dxa"/>
            <w:shd w:val="clear" w:color="auto" w:fill="DBE5F1" w:themeFill="accent1" w:themeFillTint="33"/>
          </w:tcPr>
          <w:p w:rsidR="00883434" w:rsidRDefault="00883434" w:rsidP="00883434">
            <w:pPr>
              <w:spacing w:before="240"/>
            </w:pPr>
            <w:r w:rsidRPr="00883434">
              <w:rPr>
                <w:b/>
              </w:rPr>
              <w:t xml:space="preserve">Communication – </w:t>
            </w:r>
            <w:r w:rsidRPr="00883434">
              <w:rPr>
                <w:b/>
                <w:i/>
              </w:rPr>
              <w:t>biggest game changer!!!</w:t>
            </w:r>
            <w:r>
              <w:t xml:space="preserve"> Get out there and campaign your change. Listen to what people are talking about and aim for 1:1 time with those that need to be taken on the journey</w:t>
            </w:r>
          </w:p>
        </w:tc>
      </w:tr>
      <w:tr w:rsidR="00883434" w:rsidTr="002D7E53">
        <w:tc>
          <w:tcPr>
            <w:tcW w:w="4621" w:type="dxa"/>
            <w:shd w:val="clear" w:color="auto" w:fill="B8CCE4" w:themeFill="accent1" w:themeFillTint="66"/>
          </w:tcPr>
          <w:p w:rsidR="00883434" w:rsidRDefault="00883434" w:rsidP="00883434">
            <w:pPr>
              <w:spacing w:before="240"/>
            </w:pPr>
            <w:r w:rsidRPr="00883434">
              <w:rPr>
                <w:b/>
              </w:rPr>
              <w:t>WIIFM (What's In It For Me)</w:t>
            </w:r>
            <w:r>
              <w:t xml:space="preserve"> - a great way of getting stakeholders to move from external to </w:t>
            </w:r>
            <w:proofErr w:type="spellStart"/>
            <w:r>
              <w:t>introjected</w:t>
            </w:r>
            <w:proofErr w:type="spellEnd"/>
            <w:r>
              <w:t>. You know then where to place more emphasis on explaining the change and the benefits they would receive in being on board</w:t>
            </w:r>
          </w:p>
          <w:p w:rsidR="00883434" w:rsidRDefault="00883434" w:rsidP="00883434">
            <w:pPr>
              <w:spacing w:before="240"/>
            </w:pPr>
          </w:p>
        </w:tc>
        <w:tc>
          <w:tcPr>
            <w:tcW w:w="4621" w:type="dxa"/>
            <w:shd w:val="clear" w:color="auto" w:fill="B8CCE4" w:themeFill="accent1" w:themeFillTint="66"/>
          </w:tcPr>
          <w:p w:rsidR="00883434" w:rsidRDefault="00883434" w:rsidP="00883434">
            <w:pPr>
              <w:spacing w:before="240"/>
              <w:jc w:val="center"/>
            </w:pPr>
            <w:r>
              <w:rPr>
                <w:noProof/>
                <w:lang w:val="en-US"/>
              </w:rPr>
              <w:drawing>
                <wp:inline distT="0" distB="0" distL="0" distR="0" wp14:anchorId="5D313D99" wp14:editId="4514F810">
                  <wp:extent cx="1497875" cy="11908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k_a_mile_in_my_shoes_400_clr_1226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00747" cy="1193094"/>
                          </a:xfrm>
                          <a:prstGeom prst="rect">
                            <a:avLst/>
                          </a:prstGeom>
                        </pic:spPr>
                      </pic:pic>
                    </a:graphicData>
                  </a:graphic>
                </wp:inline>
              </w:drawing>
            </w:r>
          </w:p>
        </w:tc>
      </w:tr>
      <w:tr w:rsidR="00883434" w:rsidTr="002D7E53">
        <w:tc>
          <w:tcPr>
            <w:tcW w:w="4621" w:type="dxa"/>
            <w:shd w:val="clear" w:color="auto" w:fill="DBE5F1" w:themeFill="accent1" w:themeFillTint="33"/>
          </w:tcPr>
          <w:p w:rsidR="00883434" w:rsidRDefault="00883434" w:rsidP="00883434">
            <w:pPr>
              <w:spacing w:before="240"/>
              <w:jc w:val="center"/>
            </w:pPr>
            <w:r>
              <w:rPr>
                <w:noProof/>
                <w:lang w:val="en-US"/>
              </w:rPr>
              <w:drawing>
                <wp:inline distT="0" distB="0" distL="0" distR="0" wp14:anchorId="08F4101D" wp14:editId="161AD75E">
                  <wp:extent cx="1602377" cy="120178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thinking_bubble_400_clr_2348.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2987" cy="1202241"/>
                          </a:xfrm>
                          <a:prstGeom prst="rect">
                            <a:avLst/>
                          </a:prstGeom>
                        </pic:spPr>
                      </pic:pic>
                    </a:graphicData>
                  </a:graphic>
                </wp:inline>
              </w:drawing>
            </w:r>
          </w:p>
        </w:tc>
        <w:tc>
          <w:tcPr>
            <w:tcW w:w="4621" w:type="dxa"/>
            <w:shd w:val="clear" w:color="auto" w:fill="DBE5F1" w:themeFill="accent1" w:themeFillTint="33"/>
          </w:tcPr>
          <w:p w:rsidR="00883434" w:rsidRPr="00883434" w:rsidRDefault="00883434" w:rsidP="00883434">
            <w:pPr>
              <w:spacing w:before="240"/>
            </w:pPr>
            <w:r w:rsidRPr="00883434">
              <w:rPr>
                <w:b/>
              </w:rPr>
              <w:t>Let them have time to contemplate the change</w:t>
            </w:r>
            <w:r>
              <w:rPr>
                <w:b/>
              </w:rPr>
              <w:t xml:space="preserve"> </w:t>
            </w:r>
            <w:r>
              <w:t>– give stakeholders the opportunity to reflect on what you are proposing before implementing the change. A chance to think about things and discussing with their peers could get them onside with what you are proposing</w:t>
            </w:r>
          </w:p>
        </w:tc>
      </w:tr>
      <w:tr w:rsidR="00883434" w:rsidTr="002D7E53">
        <w:tc>
          <w:tcPr>
            <w:tcW w:w="4621" w:type="dxa"/>
            <w:shd w:val="clear" w:color="auto" w:fill="B8CCE4" w:themeFill="accent1" w:themeFillTint="66"/>
          </w:tcPr>
          <w:p w:rsidR="00883434" w:rsidRPr="00883434" w:rsidRDefault="00883434" w:rsidP="00883434">
            <w:pPr>
              <w:spacing w:before="240"/>
            </w:pPr>
            <w:r w:rsidRPr="00883434">
              <w:rPr>
                <w:b/>
              </w:rPr>
              <w:t>Support your champion</w:t>
            </w:r>
            <w:r>
              <w:rPr>
                <w:b/>
              </w:rPr>
              <w:t xml:space="preserve"> </w:t>
            </w:r>
            <w:r>
              <w:t xml:space="preserve">– when you have a supporter of your change, make sure they get the support required to help you campaign to stakeholders that are still not on board. </w:t>
            </w:r>
            <w:r w:rsidR="002D7E53">
              <w:t>It’s</w:t>
            </w:r>
            <w:r>
              <w:t xml:space="preserve"> amazing to see </w:t>
            </w:r>
            <w:r w:rsidR="002D7E53">
              <w:t>how the tide turns when support snowballs from self-motivation</w:t>
            </w:r>
            <w:r>
              <w:t xml:space="preserve"> </w:t>
            </w:r>
          </w:p>
        </w:tc>
        <w:tc>
          <w:tcPr>
            <w:tcW w:w="4621" w:type="dxa"/>
            <w:shd w:val="clear" w:color="auto" w:fill="B8CCE4" w:themeFill="accent1" w:themeFillTint="66"/>
          </w:tcPr>
          <w:p w:rsidR="00883434" w:rsidRDefault="00883434" w:rsidP="00883434">
            <w:pPr>
              <w:spacing w:before="240"/>
              <w:jc w:val="center"/>
            </w:pPr>
            <w:r>
              <w:rPr>
                <w:noProof/>
                <w:lang w:val="en-US"/>
              </w:rPr>
              <w:drawing>
                <wp:inline distT="0" distB="0" distL="0" distR="0" wp14:anchorId="7ABDDAA7" wp14:editId="607A4130">
                  <wp:extent cx="1053737" cy="1404983"/>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ck_figure_superhero_400_clr_185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54139" cy="1405519"/>
                          </a:xfrm>
                          <a:prstGeom prst="rect">
                            <a:avLst/>
                          </a:prstGeom>
                        </pic:spPr>
                      </pic:pic>
                    </a:graphicData>
                  </a:graphic>
                </wp:inline>
              </w:drawing>
            </w:r>
          </w:p>
        </w:tc>
      </w:tr>
    </w:tbl>
    <w:p w:rsidR="00883434" w:rsidRDefault="00883434"/>
    <w:p w:rsidR="004C3E63" w:rsidRPr="004E2514" w:rsidRDefault="004C3E63"/>
    <w:sectPr w:rsidR="004C3E63" w:rsidRPr="004E25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idot">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63A"/>
    <w:rsid w:val="00100FD8"/>
    <w:rsid w:val="0025764E"/>
    <w:rsid w:val="002D7E53"/>
    <w:rsid w:val="002F03B5"/>
    <w:rsid w:val="00423719"/>
    <w:rsid w:val="00453B95"/>
    <w:rsid w:val="004A566E"/>
    <w:rsid w:val="004C3E63"/>
    <w:rsid w:val="004E2514"/>
    <w:rsid w:val="005630A3"/>
    <w:rsid w:val="005835DB"/>
    <w:rsid w:val="006609CC"/>
    <w:rsid w:val="007109F5"/>
    <w:rsid w:val="00726557"/>
    <w:rsid w:val="00766A3F"/>
    <w:rsid w:val="00782FD9"/>
    <w:rsid w:val="00883434"/>
    <w:rsid w:val="0089063A"/>
    <w:rsid w:val="008C229E"/>
    <w:rsid w:val="00937936"/>
    <w:rsid w:val="00937D5C"/>
    <w:rsid w:val="009C26C0"/>
    <w:rsid w:val="009E7663"/>
    <w:rsid w:val="00A00F52"/>
    <w:rsid w:val="00A346F2"/>
    <w:rsid w:val="00A36EFA"/>
    <w:rsid w:val="00A50893"/>
    <w:rsid w:val="00B23422"/>
    <w:rsid w:val="00B24BDA"/>
    <w:rsid w:val="00B26663"/>
    <w:rsid w:val="00B34CE5"/>
    <w:rsid w:val="00B94E34"/>
    <w:rsid w:val="00BA32DC"/>
    <w:rsid w:val="00BC0482"/>
    <w:rsid w:val="00D56CAF"/>
    <w:rsid w:val="00E038BE"/>
    <w:rsid w:val="00E1397D"/>
    <w:rsid w:val="00E8434B"/>
    <w:rsid w:val="00EB21F0"/>
    <w:rsid w:val="00EE3F6B"/>
    <w:rsid w:val="00F06AA8"/>
    <w:rsid w:val="00F149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6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2514"/>
    <w:rPr>
      <w:color w:val="0000FF" w:themeColor="hyperlink"/>
      <w:u w:val="single"/>
    </w:rPr>
  </w:style>
  <w:style w:type="paragraph" w:styleId="NormalWeb">
    <w:name w:val="Normal (Web)"/>
    <w:basedOn w:val="Normal"/>
    <w:uiPriority w:val="99"/>
    <w:unhideWhenUsed/>
    <w:rsid w:val="004E251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B26663"/>
    <w:rPr>
      <w:color w:val="800080" w:themeColor="followedHyperlink"/>
      <w:u w:val="single"/>
    </w:rPr>
  </w:style>
  <w:style w:type="paragraph" w:customStyle="1" w:styleId="ShapeCaptionWhite">
    <w:name w:val="Shape Caption White"/>
    <w:rsid w:val="007109F5"/>
    <w:pPr>
      <w:keepNext/>
      <w:tabs>
        <w:tab w:val="left" w:pos="1368"/>
      </w:tabs>
      <w:spacing w:after="0" w:line="240" w:lineRule="auto"/>
    </w:pPr>
    <w:rPr>
      <w:rFonts w:ascii="Didot" w:eastAsia="Arial Unicode MS" w:hAnsi="Didot" w:cs="Times New Roman"/>
      <w:color w:val="FEFFFE"/>
      <w:sz w:val="36"/>
      <w:szCs w:val="20"/>
      <w:lang w:eastAsia="en-AU"/>
    </w:rPr>
  </w:style>
  <w:style w:type="paragraph" w:styleId="BalloonText">
    <w:name w:val="Balloon Text"/>
    <w:basedOn w:val="Normal"/>
    <w:link w:val="BalloonTextChar"/>
    <w:uiPriority w:val="99"/>
    <w:semiHidden/>
    <w:unhideWhenUsed/>
    <w:rsid w:val="00710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9F5"/>
    <w:rPr>
      <w:rFonts w:ascii="Tahoma" w:hAnsi="Tahoma" w:cs="Tahoma"/>
      <w:sz w:val="16"/>
      <w:szCs w:val="16"/>
    </w:rPr>
  </w:style>
  <w:style w:type="paragraph" w:styleId="Caption">
    <w:name w:val="caption"/>
    <w:basedOn w:val="Normal"/>
    <w:next w:val="Normal"/>
    <w:uiPriority w:val="35"/>
    <w:unhideWhenUsed/>
    <w:qFormat/>
    <w:rsid w:val="007109F5"/>
    <w:pPr>
      <w:spacing w:line="240" w:lineRule="auto"/>
    </w:pPr>
    <w:rPr>
      <w:b/>
      <w:bCs/>
      <w:color w:val="4F81BD" w:themeColor="accent1"/>
      <w:sz w:val="18"/>
      <w:szCs w:val="18"/>
    </w:rPr>
  </w:style>
  <w:style w:type="table" w:styleId="TableGrid">
    <w:name w:val="Table Grid"/>
    <w:basedOn w:val="TableNormal"/>
    <w:uiPriority w:val="59"/>
    <w:rsid w:val="008834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6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2514"/>
    <w:rPr>
      <w:color w:val="0000FF" w:themeColor="hyperlink"/>
      <w:u w:val="single"/>
    </w:rPr>
  </w:style>
  <w:style w:type="paragraph" w:styleId="NormalWeb">
    <w:name w:val="Normal (Web)"/>
    <w:basedOn w:val="Normal"/>
    <w:uiPriority w:val="99"/>
    <w:unhideWhenUsed/>
    <w:rsid w:val="004E251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B26663"/>
    <w:rPr>
      <w:color w:val="800080" w:themeColor="followedHyperlink"/>
      <w:u w:val="single"/>
    </w:rPr>
  </w:style>
  <w:style w:type="paragraph" w:customStyle="1" w:styleId="ShapeCaptionWhite">
    <w:name w:val="Shape Caption White"/>
    <w:rsid w:val="007109F5"/>
    <w:pPr>
      <w:keepNext/>
      <w:tabs>
        <w:tab w:val="left" w:pos="1368"/>
      </w:tabs>
      <w:spacing w:after="0" w:line="240" w:lineRule="auto"/>
    </w:pPr>
    <w:rPr>
      <w:rFonts w:ascii="Didot" w:eastAsia="Arial Unicode MS" w:hAnsi="Didot" w:cs="Times New Roman"/>
      <w:color w:val="FEFFFE"/>
      <w:sz w:val="36"/>
      <w:szCs w:val="20"/>
      <w:lang w:eastAsia="en-AU"/>
    </w:rPr>
  </w:style>
  <w:style w:type="paragraph" w:styleId="BalloonText">
    <w:name w:val="Balloon Text"/>
    <w:basedOn w:val="Normal"/>
    <w:link w:val="BalloonTextChar"/>
    <w:uiPriority w:val="99"/>
    <w:semiHidden/>
    <w:unhideWhenUsed/>
    <w:rsid w:val="00710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9F5"/>
    <w:rPr>
      <w:rFonts w:ascii="Tahoma" w:hAnsi="Tahoma" w:cs="Tahoma"/>
      <w:sz w:val="16"/>
      <w:szCs w:val="16"/>
    </w:rPr>
  </w:style>
  <w:style w:type="paragraph" w:styleId="Caption">
    <w:name w:val="caption"/>
    <w:basedOn w:val="Normal"/>
    <w:next w:val="Normal"/>
    <w:uiPriority w:val="35"/>
    <w:unhideWhenUsed/>
    <w:qFormat/>
    <w:rsid w:val="007109F5"/>
    <w:pPr>
      <w:spacing w:line="240" w:lineRule="auto"/>
    </w:pPr>
    <w:rPr>
      <w:b/>
      <w:bCs/>
      <w:color w:val="4F81BD" w:themeColor="accent1"/>
      <w:sz w:val="18"/>
      <w:szCs w:val="18"/>
    </w:rPr>
  </w:style>
  <w:style w:type="table" w:styleId="TableGrid">
    <w:name w:val="Table Grid"/>
    <w:basedOn w:val="TableNormal"/>
    <w:uiPriority w:val="59"/>
    <w:rsid w:val="008834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708378">
      <w:bodyDiv w:val="1"/>
      <w:marLeft w:val="0"/>
      <w:marRight w:val="0"/>
      <w:marTop w:val="0"/>
      <w:marBottom w:val="0"/>
      <w:divBdr>
        <w:top w:val="none" w:sz="0" w:space="0" w:color="auto"/>
        <w:left w:val="none" w:sz="0" w:space="0" w:color="auto"/>
        <w:bottom w:val="none" w:sz="0" w:space="0" w:color="auto"/>
        <w:right w:val="none" w:sz="0" w:space="0" w:color="auto"/>
      </w:divBdr>
      <w:divsChild>
        <w:div w:id="116533638">
          <w:marLeft w:val="0"/>
          <w:marRight w:val="0"/>
          <w:marTop w:val="0"/>
          <w:marBottom w:val="0"/>
          <w:divBdr>
            <w:top w:val="none" w:sz="0" w:space="0" w:color="auto"/>
            <w:left w:val="none" w:sz="0" w:space="0" w:color="auto"/>
            <w:bottom w:val="none" w:sz="0" w:space="0" w:color="auto"/>
            <w:right w:val="none" w:sz="0" w:space="0" w:color="auto"/>
          </w:divBdr>
          <w:divsChild>
            <w:div w:id="1040714346">
              <w:marLeft w:val="0"/>
              <w:marRight w:val="0"/>
              <w:marTop w:val="0"/>
              <w:marBottom w:val="0"/>
              <w:divBdr>
                <w:top w:val="none" w:sz="0" w:space="0" w:color="auto"/>
                <w:left w:val="none" w:sz="0" w:space="0" w:color="auto"/>
                <w:bottom w:val="none" w:sz="0" w:space="0" w:color="auto"/>
                <w:right w:val="none" w:sz="0" w:space="0" w:color="auto"/>
              </w:divBdr>
              <w:divsChild>
                <w:div w:id="1339966387">
                  <w:marLeft w:val="0"/>
                  <w:marRight w:val="0"/>
                  <w:marTop w:val="0"/>
                  <w:marBottom w:val="0"/>
                  <w:divBdr>
                    <w:top w:val="none" w:sz="0" w:space="0" w:color="auto"/>
                    <w:left w:val="none" w:sz="0" w:space="0" w:color="auto"/>
                    <w:bottom w:val="none" w:sz="0" w:space="0" w:color="auto"/>
                    <w:right w:val="none" w:sz="0" w:space="0" w:color="auto"/>
                  </w:divBdr>
                  <w:divsChild>
                    <w:div w:id="263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281951">
      <w:bodyDiv w:val="1"/>
      <w:marLeft w:val="0"/>
      <w:marRight w:val="0"/>
      <w:marTop w:val="0"/>
      <w:marBottom w:val="0"/>
      <w:divBdr>
        <w:top w:val="none" w:sz="0" w:space="0" w:color="auto"/>
        <w:left w:val="none" w:sz="0" w:space="0" w:color="auto"/>
        <w:bottom w:val="none" w:sz="0" w:space="0" w:color="auto"/>
        <w:right w:val="none" w:sz="0" w:space="0" w:color="auto"/>
      </w:divBdr>
      <w:divsChild>
        <w:div w:id="801924415">
          <w:marLeft w:val="0"/>
          <w:marRight w:val="0"/>
          <w:marTop w:val="0"/>
          <w:marBottom w:val="0"/>
          <w:divBdr>
            <w:top w:val="none" w:sz="0" w:space="0" w:color="auto"/>
            <w:left w:val="none" w:sz="0" w:space="0" w:color="auto"/>
            <w:bottom w:val="none" w:sz="0" w:space="0" w:color="auto"/>
            <w:right w:val="none" w:sz="0" w:space="0" w:color="auto"/>
          </w:divBdr>
          <w:divsChild>
            <w:div w:id="1131895799">
              <w:marLeft w:val="0"/>
              <w:marRight w:val="0"/>
              <w:marTop w:val="0"/>
              <w:marBottom w:val="0"/>
              <w:divBdr>
                <w:top w:val="none" w:sz="0" w:space="0" w:color="auto"/>
                <w:left w:val="none" w:sz="0" w:space="0" w:color="auto"/>
                <w:bottom w:val="none" w:sz="0" w:space="0" w:color="auto"/>
                <w:right w:val="none" w:sz="0" w:space="0" w:color="auto"/>
              </w:divBdr>
              <w:divsChild>
                <w:div w:id="1494680164">
                  <w:marLeft w:val="0"/>
                  <w:marRight w:val="0"/>
                  <w:marTop w:val="0"/>
                  <w:marBottom w:val="0"/>
                  <w:divBdr>
                    <w:top w:val="none" w:sz="0" w:space="0" w:color="auto"/>
                    <w:left w:val="none" w:sz="0" w:space="0" w:color="auto"/>
                    <w:bottom w:val="none" w:sz="0" w:space="0" w:color="auto"/>
                    <w:right w:val="none" w:sz="0" w:space="0" w:color="auto"/>
                  </w:divBdr>
                  <w:divsChild>
                    <w:div w:id="54522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159801">
      <w:bodyDiv w:val="1"/>
      <w:marLeft w:val="0"/>
      <w:marRight w:val="0"/>
      <w:marTop w:val="0"/>
      <w:marBottom w:val="0"/>
      <w:divBdr>
        <w:top w:val="none" w:sz="0" w:space="0" w:color="auto"/>
        <w:left w:val="none" w:sz="0" w:space="0" w:color="auto"/>
        <w:bottom w:val="none" w:sz="0" w:space="0" w:color="auto"/>
        <w:right w:val="none" w:sz="0" w:space="0" w:color="auto"/>
      </w:divBdr>
      <w:divsChild>
        <w:div w:id="337731950">
          <w:marLeft w:val="0"/>
          <w:marRight w:val="0"/>
          <w:marTop w:val="0"/>
          <w:marBottom w:val="0"/>
          <w:divBdr>
            <w:top w:val="none" w:sz="0" w:space="0" w:color="auto"/>
            <w:left w:val="none" w:sz="0" w:space="0" w:color="auto"/>
            <w:bottom w:val="none" w:sz="0" w:space="0" w:color="auto"/>
            <w:right w:val="none" w:sz="0" w:space="0" w:color="auto"/>
          </w:divBdr>
          <w:divsChild>
            <w:div w:id="336426293">
              <w:marLeft w:val="0"/>
              <w:marRight w:val="0"/>
              <w:marTop w:val="0"/>
              <w:marBottom w:val="0"/>
              <w:divBdr>
                <w:top w:val="none" w:sz="0" w:space="0" w:color="auto"/>
                <w:left w:val="none" w:sz="0" w:space="0" w:color="auto"/>
                <w:bottom w:val="none" w:sz="0" w:space="0" w:color="auto"/>
                <w:right w:val="none" w:sz="0" w:space="0" w:color="auto"/>
              </w:divBdr>
              <w:divsChild>
                <w:div w:id="1888759061">
                  <w:marLeft w:val="0"/>
                  <w:marRight w:val="0"/>
                  <w:marTop w:val="0"/>
                  <w:marBottom w:val="0"/>
                  <w:divBdr>
                    <w:top w:val="none" w:sz="0" w:space="0" w:color="auto"/>
                    <w:left w:val="none" w:sz="0" w:space="0" w:color="auto"/>
                    <w:bottom w:val="none" w:sz="0" w:space="0" w:color="auto"/>
                    <w:right w:val="none" w:sz="0" w:space="0" w:color="auto"/>
                  </w:divBdr>
                  <w:divsChild>
                    <w:div w:id="1870333605">
                      <w:marLeft w:val="0"/>
                      <w:marRight w:val="0"/>
                      <w:marTop w:val="0"/>
                      <w:marBottom w:val="0"/>
                      <w:divBdr>
                        <w:top w:val="none" w:sz="0" w:space="0" w:color="auto"/>
                        <w:left w:val="none" w:sz="0" w:space="0" w:color="auto"/>
                        <w:bottom w:val="none" w:sz="0" w:space="0" w:color="auto"/>
                        <w:right w:val="none" w:sz="0" w:space="0" w:color="auto"/>
                      </w:divBdr>
                      <w:divsChild>
                        <w:div w:id="1205868939">
                          <w:marLeft w:val="0"/>
                          <w:marRight w:val="0"/>
                          <w:marTop w:val="0"/>
                          <w:marBottom w:val="0"/>
                          <w:divBdr>
                            <w:top w:val="none" w:sz="0" w:space="0" w:color="auto"/>
                            <w:left w:val="none" w:sz="0" w:space="0" w:color="auto"/>
                            <w:bottom w:val="none" w:sz="0" w:space="0" w:color="auto"/>
                            <w:right w:val="none" w:sz="0" w:space="0" w:color="auto"/>
                          </w:divBdr>
                          <w:divsChild>
                            <w:div w:id="1932736558">
                              <w:marLeft w:val="0"/>
                              <w:marRight w:val="180"/>
                              <w:marTop w:val="0"/>
                              <w:marBottom w:val="0"/>
                              <w:divBdr>
                                <w:top w:val="none" w:sz="0" w:space="0" w:color="auto"/>
                                <w:left w:val="none" w:sz="0" w:space="0" w:color="auto"/>
                                <w:bottom w:val="none" w:sz="0" w:space="0" w:color="auto"/>
                                <w:right w:val="none" w:sz="0" w:space="0" w:color="auto"/>
                              </w:divBdr>
                              <w:divsChild>
                                <w:div w:id="4503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lfdeterminationtheory.org/theory" TargetMode="External"/><Relationship Id="rId11" Type="http://schemas.openxmlformats.org/officeDocument/2006/relationships/image" Target="media/image6.png"/><Relationship Id="rId5" Type="http://schemas.openxmlformats.org/officeDocument/2006/relationships/image" Target="media/image1.JP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Commonwealth Bank of Australia</Company>
  <LinksUpToDate>false</LinksUpToDate>
  <CharactersWithSpaces>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Morris</dc:creator>
  <cp:lastModifiedBy>Kowalski, Maja (Sydney)</cp:lastModifiedBy>
  <cp:revision>3</cp:revision>
  <dcterms:created xsi:type="dcterms:W3CDTF">2013-09-30T00:49:00Z</dcterms:created>
  <dcterms:modified xsi:type="dcterms:W3CDTF">2013-10-01T00:07:00Z</dcterms:modified>
</cp:coreProperties>
</file>